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Směrnice o AI společnosti [Firma]</w:t>
      </w:r>
    </w:p>
    <w:p>
      <w:r>
        <w:rPr>
          <w:i/>
          <w:iCs/>
        </w:rPr>
        <w:t xml:space="preserve">Vzor z get-ai-conform.com. Nejde o právní poradenství: přizpůsobte části své firmě a nahraďte údaje v hranatých závorkách.</w:t>
      </w:r>
    </w:p>
    <w:p>
      <w:pPr>
        <w:pStyle w:val="Heading2"/>
      </w:pPr>
      <w:r>
        <w:t xml:space="preserve">1. Účel a oblast působnosti</w:t>
      </w:r>
    </w:p>
    <w:p>
      <w:r>
        <w:t xml:space="preserve">Tato směrnice upravuje používání systémů AI ve společnosti [Firma]. Platí pro všechny zaměstnance i pro freelancery a dodavatele služeb, kteří v našem zastoupení používají systémy AI. Cílem je bezpečné, zákonné a srozumitelné používání AI.</w:t>
      </w:r>
    </w:p>
    <w:p>
      <w:pPr>
        <w:pStyle w:val="Heading2"/>
      </w:pPr>
      <w:r>
        <w:t xml:space="preserve">2. Schválené nástroje AI</w:t>
      </w:r>
    </w:p>
    <w:p>
      <w:r>
        <w:t xml:space="preserve">Pro pracovní účely se používají pouze nástroje AI z přílohy 1. Nové nástroje zaměstnanci navrhují u [odpovědná osoba]. Soukromé účty AI se pro pracovní úkoly nepoužívají.</w:t>
      </w:r>
    </w:p>
    <w:p>
      <w:pPr>
        <w:pStyle w:val="Heading2"/>
      </w:pPr>
      <w:r>
        <w:t xml:space="preserve">3. Zakázané použití</w:t>
      </w:r>
    </w:p>
    <w:p>
      <w:r>
        <w:t xml:space="preserve">Nepřípustné jsou aplikace AI zakázané podle čl. 5 EU AI Act, například odvozování emocí na pracovišti nebo manipulativní techniky, a dále každé použití, které porušuje právní předpisy nebo tuto směrnici.</w:t>
      </w:r>
    </w:p>
    <w:p>
      <w:pPr>
        <w:pStyle w:val="Heading2"/>
      </w:pPr>
      <w:r>
        <w:t xml:space="preserve">4. Důvěrné a osobní údaje</w:t>
      </w:r>
    </w:p>
    <w:p>
      <w:r>
        <w:t xml:space="preserve">Osobní údaje, obchodní tajemství a důvěrné údaje zákazníků se zadávají pouze do nástrojů AI, které jsou k tomu v příloze 1 schváleny. Pro tyto nástroje existují potřebné smlouvy, například smlouva o zpracování osobních údajů podle čl. 28 GDPR. V případě pochybností se zaměstnanci obracejí na [osoba odpovědná za ochranu osobních údajů].</w:t>
      </w:r>
    </w:p>
    <w:p>
      <w:pPr>
        <w:pStyle w:val="Heading2"/>
      </w:pPr>
      <w:r>
        <w:t xml:space="preserve">5. Autorská práva a práva třetích osob</w:t>
      </w:r>
    </w:p>
    <w:p>
      <w:r>
        <w:t xml:space="preserve">Výstupy nástrojů AI mohou porušovat práva třetích osob. Texty, obrázky a kód z nástrojů AI se před zveřejněním nebo předáním na to kontrolují. Obsah třetích osob se zadává pouze tehdy, smíme-li jej k tomu používat.</w:t>
      </w:r>
    </w:p>
    <w:p>
      <w:pPr>
        <w:pStyle w:val="Heading2"/>
      </w:pPr>
      <w:r>
        <w:t xml:space="preserve">6. Kontrola člověkem</w:t>
      </w:r>
    </w:p>
    <w:p>
      <w:r>
        <w:t xml:space="preserve">Výstupy AI mohou být chybné, zastaralé nebo zkreslené. Kdo výstup AI používá, předem jej zkontroluje a za výsledek zůstává odpovědný. O osobách nerozhoduje samotný systém AI.</w:t>
      </w:r>
    </w:p>
    <w:p>
      <w:pPr>
        <w:pStyle w:val="Heading2"/>
      </w:pPr>
      <w:r>
        <w:t xml:space="preserve">7. Označování</w:t>
      </w:r>
    </w:p>
    <w:p>
      <w:r>
        <w:t xml:space="preserve">Obrázky, zvukový a video obsah vytvořený nebo upravený pomocí AI, který se podobá skutečným osobám, místům nebo událostem (deepfake), zveřejňujeme jako uměle vytvořený (čl. 50 odst. 4 EU AI Act). Totéž platí pro texty vytvořené AI, které zveřejňujeme za účelem informování veřejnosti o záležitostech veřejného zájmu, pokud je člověk redakčně nezkontroloval a nenese za ně odpovědnost. Chatboty komunikující se zákazníky se představí jako AI.</w:t>
      </w:r>
    </w:p>
    <w:p>
      <w:pPr>
        <w:pStyle w:val="Heading2"/>
      </w:pPr>
      <w:r>
        <w:t xml:space="preserve">8. Použití ve vysoce rizikových oblastech</w:t>
      </w:r>
    </w:p>
    <w:p>
      <w:r>
        <w:t xml:space="preserve">Před použitím AI v oblastech podle přílohy III EU AI Act, například při výběru zaměstnanců, hodnocení výkonu zaměstnanců nebo posuzování úvěruschopnosti, se zapojí [odpovědná osoba]. Pro takové systémy platí od 2. prosince 2027 zvláštní povinnosti zavádějících subjektů (čl. 26 EU AI Act).</w:t>
      </w:r>
    </w:p>
    <w:p>
      <w:pPr>
        <w:pStyle w:val="Heading2"/>
      </w:pPr>
      <w:r>
        <w:t xml:space="preserve">9. Kompetence v oblasti AI</w:t>
      </w:r>
    </w:p>
    <w:p>
      <w:r>
        <w:t xml:space="preserve">Všechny osoby, které v našem zastoupení používají systémy AI, se zúčastní opatření v oblasti kompetence v AI dříve, než nástroje začnou používat, a obnovují je u nových nástrojů nebo rolí (čl. 4 EU AI Act). [Odpovědná osoba] eviduje, kdo se kdy kterého opatření zúčastnil.</w:t>
      </w:r>
    </w:p>
    <w:p>
      <w:pPr>
        <w:pStyle w:val="Heading2"/>
      </w:pPr>
      <w:r>
        <w:t xml:space="preserve">10. Odpovědnosti, hlášení a přezkum</w:t>
      </w:r>
    </w:p>
    <w:p>
      <w:r>
        <w:t xml:space="preserve">Kontaktní osobou pro tuto směrnici je [odpovědná osoba]. Chyby, úniky údajů nebo nápadné výstupy AI zaměstnanci neprodleně hlásí na [cesta hlášení]. Směrnici přezkoumáme nejméně jednou ročně a při podstatných změnách. Stav: [datum].</w:t>
      </w:r>
    </w:p>
    <w:p>
      <w:pPr>
        <w:pStyle w:val="Heading2"/>
      </w:pPr>
      <w:r>
        <w:t xml:space="preserve">Příloha 1: Schválené nástroje AI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Nástroj</w:t>
            </w:r>
          </w:p>
        </w:tc>
        <w:tc>
          <w:p>
            <w:r>
              <w:rPr>
                <w:b/>
                <w:bCs/>
              </w:rPr>
              <w:t xml:space="preserve">Účel</w:t>
            </w:r>
          </w:p>
        </w:tc>
        <w:tc>
          <w:p>
            <w:r>
              <w:rPr>
                <w:b/>
                <w:bCs/>
              </w:rPr>
              <w:t xml:space="preserve">Povolené údaje</w:t>
            </w:r>
          </w:p>
        </w:tc>
        <w:tc>
          <w:p>
            <w:r>
              <w:rPr>
                <w:b/>
                <w:bCs/>
              </w:rPr>
              <w:t xml:space="preserve">Smlouva (např. smlouva o zpracování)</w:t>
            </w:r>
          </w:p>
        </w:tc>
        <w:tc>
          <w:p>
            <w:r>
              <w:rPr>
                <w:b/>
                <w:bCs/>
              </w:rPr>
              <w:t xml:space="preserve">Odpovědná osoba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o AI společnosti [Firma]</dc:title>
  <dc:creator>get-ai-conform.com</dc:creator>
  <cp:lastModifiedBy>Un-named</cp:lastModifiedBy>
  <cp:revision>1</cp:revision>
  <dcterms:created xsi:type="dcterms:W3CDTF">2026-10-21T15:58:14.557Z</dcterms:created>
  <dcterms:modified xsi:type="dcterms:W3CDTF">2026-10-21T15:58:14.557Z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