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Tehisintellekti poliitika: [ettevõte]</w:t>
      </w:r>
    </w:p>
    <w:p>
      <w:r>
        <w:rPr>
          <w:i/>
          <w:iCs/>
        </w:rPr>
        <w:t xml:space="preserve">Näidis veebilehelt get-ai-conform.com. Ei ole õigusnõustamine: kohandage jaotised oma ettevõttele ja asendage nurksulgudes olevad andmed.</w:t>
      </w:r>
    </w:p>
    <w:p>
      <w:pPr>
        <w:pStyle w:val="Heading2"/>
      </w:pPr>
      <w:r>
        <w:t xml:space="preserve">1. Eesmärk ja kohaldamisala</w:t>
      </w:r>
    </w:p>
    <w:p>
      <w:r>
        <w:t xml:space="preserve">See poliitika reguleerib tehisintellektisüsteemide kasutamist ettevõttes [ettevõte]. See kehtib kõigile töötajatele ning vabakutselistele ja teenusepakkujatele, kes kasutavad meie ülesandel tehisintellektisüsteeme. Eesmärk on tehisintellekti turvaline, õiguspärane ja jälgitav kasutamine.</w:t>
      </w:r>
    </w:p>
    <w:p>
      <w:pPr>
        <w:pStyle w:val="Heading2"/>
      </w:pPr>
      <w:r>
        <w:t xml:space="preserve">2. Lubatud tehisintellekti tööriistad</w:t>
      </w:r>
    </w:p>
    <w:p>
      <w:r>
        <w:t xml:space="preserve">Ametialaselt kasutatakse ainult lisas 1 nimetatud tehisintellekti tööriistu. Uusi tööriistu taotlevad töötajad isikult [vastutav isik]. Isiklikke tehisintellekti kontosid tööülesannete jaoks ei kasutata.</w:t>
      </w:r>
    </w:p>
    <w:p>
      <w:pPr>
        <w:pStyle w:val="Heading2"/>
      </w:pPr>
      <w:r>
        <w:t xml:space="preserve">3. Keelatud kasutus</w:t>
      </w:r>
    </w:p>
    <w:p>
      <w:r>
        <w:t xml:space="preserve">Ei ole lubatud tehisintellekti rakendused, mis on EU AI Act-i artikli 5 alusel keelatud, näiteks emotsioonide tuletamine töökohal või manipuleerivad meetodid, ega ükski kasutus, mis rikub õigusakte või seda poliitikat.</w:t>
      </w:r>
    </w:p>
    <w:p>
      <w:pPr>
        <w:pStyle w:val="Heading2"/>
      </w:pPr>
      <w:r>
        <w:t xml:space="preserve">4. Konfidentsiaalsed andmed ja isikuandmed</w:t>
      </w:r>
    </w:p>
    <w:p>
      <w:r>
        <w:t xml:space="preserve">Isikuandmeid, ärisaladusi ja konfidentsiaalseid kliendiandmeid sisestatakse ainult tehisintellekti tööriistadesse, mis on lisas 1 selleks lubatud. Nende tööriistade kohta on olemas vajalikud lepingud, näiteks andmetöötluslepe GDPR-i artikli 28 alusel. Kahtluse korral pöörduvad töötajad isiku [andmekaitsespetsialist] poole.</w:t>
      </w:r>
    </w:p>
    <w:p>
      <w:pPr>
        <w:pStyle w:val="Heading2"/>
      </w:pPr>
      <w:r>
        <w:t xml:space="preserve">5. Autoriõigus ja kolmandate isikute õigused</w:t>
      </w:r>
    </w:p>
    <w:p>
      <w:r>
        <w:t xml:space="preserve">Tehisintellekti tööriistade tulemused võivad rikkuda kolmandate isikute õigusi. Tehisintellekti tööriistadega loodud tekste, pilte ja koodi kontrollitakse enne avaldamist või edastamist. Kolmandate isikute sisu sisestatakse ainult siis, kui meil on õigus seda selleks kasutada.</w:t>
      </w:r>
    </w:p>
    <w:p>
      <w:pPr>
        <w:pStyle w:val="Heading2"/>
      </w:pPr>
      <w:r>
        <w:t xml:space="preserve">6. Inimese tehtav kontroll</w:t>
      </w:r>
    </w:p>
    <w:p>
      <w:r>
        <w:t xml:space="preserve">Tehisintellekti tulemused võivad olla valed, aegunud või moonutatud. Kes tehisintellekti tulemust kasutab, kontrollib seda enne ja vastutab tulemuse eest. Otsuseid isikute kohta ei tee ainult tehisintellektisüsteem.</w:t>
      </w:r>
    </w:p>
    <w:p>
      <w:pPr>
        <w:pStyle w:val="Heading2"/>
      </w:pPr>
      <w:r>
        <w:t xml:space="preserve">7. Märgistamine</w:t>
      </w:r>
    </w:p>
    <w:p>
      <w:r>
        <w:t xml:space="preserve">Tehisintellekti loodud või manipuleeritud pilt-, heli- ja videosisu, mis meenutab tegelikke isikuid, kohti või sündmusi (süvavõltsingud), avalikustame kunstlikult loodud sisuna (EU AI Act-i artikli 50 lõige 4). See kehtib ka tehisintellekti loodud tekstide kohta, mida avaldame avalikkuse teavitamiseks avaliku huvi küsimustes, kui inimene ei ole neid toimetuslikult üle vaadanud ega nende eest vastutust võtnud. Klientidega suhtlevad vestlusrobotid teevad teatavaks, et on tehisintellekt.</w:t>
      </w:r>
    </w:p>
    <w:p>
      <w:pPr>
        <w:pStyle w:val="Heading2"/>
      </w:pPr>
      <w:r>
        <w:t xml:space="preserve">8. Kasutus kõrge riskiga valdkondades</w:t>
      </w:r>
    </w:p>
    <w:p>
      <w:r>
        <w:t xml:space="preserve">Enne tehisintellekti kasutamist EU AI Act-i III lisas nimetatud valdkondades, näiteks personalivalikul, töötajate töötulemuste hindamisel või krediidivõimelisuse hindamisel, kaasatakse isik [vastutav isik]. Selliste süsteemide puhul kehtivad alates 2. detsembrist 2027 juurutajate erikohustused (EU AI Act-i artikkel 26).</w:t>
      </w:r>
    </w:p>
    <w:p>
      <w:pPr>
        <w:pStyle w:val="Heading2"/>
      </w:pPr>
      <w:r>
        <w:t xml:space="preserve">9. Tehisintellekti pädevus</w:t>
      </w:r>
    </w:p>
    <w:p>
      <w:r>
        <w:t xml:space="preserve">Kõik isikud, kes kasutavad meie ülesandel tehisintellektisüsteeme, osalevad enne tööriistade kasutamist tehisintellekti pädevuse meetmetes ning värskendavad neid uute tööriistade või rollide korral (EU AI Act-i artikkel 4). [Vastutav isik] fikseerib, kes millal millises meetmes osales.</w:t>
      </w:r>
    </w:p>
    <w:p>
      <w:pPr>
        <w:pStyle w:val="Heading2"/>
      </w:pPr>
      <w:r>
        <w:t xml:space="preserve">10. Vastutus, teavitamine ja läbivaatamine</w:t>
      </w:r>
    </w:p>
    <w:p>
      <w:r>
        <w:t xml:space="preserve">Selle poliitika kontaktisik on [vastutav isik]. Vigadest, andmerikkumistest või ebatavalistest tehisintellekti tulemustest teavitavad töötajad viivitamata kanalit [teavitamise kanal]. Vaatame poliitika üle vähemalt kord aastas ja oluliste muudatuste korral. Seisuga: [kuupäev].</w:t>
      </w:r>
    </w:p>
    <w:p>
      <w:pPr>
        <w:pStyle w:val="Heading2"/>
      </w:pPr>
      <w:r>
        <w:t xml:space="preserve">Lisa 1: lubatud tehisintellekti tööriistad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Tööriist</w:t>
            </w:r>
          </w:p>
        </w:tc>
        <w:tc>
          <w:p>
            <w:r>
              <w:rPr>
                <w:b/>
                <w:bCs/>
              </w:rPr>
              <w:t xml:space="preserve">Eesmärk</w:t>
            </w:r>
          </w:p>
        </w:tc>
        <w:tc>
          <w:p>
            <w:r>
              <w:rPr>
                <w:b/>
                <w:bCs/>
              </w:rPr>
              <w:t xml:space="preserve">Lubatud andmed</w:t>
            </w:r>
          </w:p>
        </w:tc>
        <w:tc>
          <w:p>
            <w:r>
              <w:rPr>
                <w:b/>
                <w:bCs/>
              </w:rPr>
              <w:t xml:space="preserve">Leping (nt andmetöötluslepe)</w:t>
            </w:r>
          </w:p>
        </w:tc>
        <w:tc>
          <w:p>
            <w:r>
              <w:rPr>
                <w:b/>
                <w:bCs/>
              </w:rPr>
              <w:t xml:space="preserve">Vastutaja</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Tehisintellekti poliitika: [ettevõte]</dc:title>
  <dc:creator>get-ai-conform.com</dc:creator>
  <cp:lastModifiedBy>Un-named</cp:lastModifiedBy>
  <cp:revision>1</cp:revision>
  <dcterms:created xsi:type="dcterms:W3CDTF">2026-10-21T15:58:14.619Z</dcterms:created>
  <dcterms:modified xsi:type="dcterms:W3CDTF">2026-10-21T15:58:14.619Z</dcterms:modified>
</cp:coreProperties>
</file>

<file path=docProps/custom.xml><?xml version="1.0" encoding="utf-8"?>
<Properties xmlns="http://schemas.openxmlformats.org/officeDocument/2006/custom-properties" xmlns:vt="http://schemas.openxmlformats.org/officeDocument/2006/docPropsVTypes"/>
</file>