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Politika za UI poduzeća [poduzeće]</w:t>
      </w:r>
    </w:p>
    <w:p>
      <w:r>
        <w:rPr>
          <w:i/>
          <w:iCs/>
        </w:rPr>
        <w:t xml:space="preserve">Predložak s get-ai-conform.com. Nije pravni savjet: prilagodite odjeljke svojem poduzeću i zamijenite podatke u uglatim zagradama.</w:t>
      </w:r>
    </w:p>
    <w:p>
      <w:pPr>
        <w:pStyle w:val="Heading2"/>
      </w:pPr>
      <w:r>
        <w:t xml:space="preserve">1. Svrha i područje primjene</w:t>
      </w:r>
    </w:p>
    <w:p>
      <w:r>
        <w:t xml:space="preserve">Ova politika uređuje korištenje sustava UI u poduzeću [poduzeće]. Vrijedi za sve zaposlenike te za slobodnjake i pružatelje usluga koji u naše ime koriste sustave UI. Cilj je siguran, zakonit i provjerljiv način korištenja UI.</w:t>
      </w:r>
    </w:p>
    <w:p>
      <w:pPr>
        <w:pStyle w:val="Heading2"/>
      </w:pPr>
      <w:r>
        <w:t xml:space="preserve">2. Odobreni UI-alati</w:t>
      </w:r>
    </w:p>
    <w:p>
      <w:r>
        <w:t xml:space="preserve">Za profesionalnu uporabu koriste se samo UI-alati iz Dodatka 1. Nove alate zaposlenici traže od osobe [odgovorna osoba]. Privatni UI-računi ne koriste se za poslovne zadatke.</w:t>
      </w:r>
    </w:p>
    <w:p>
      <w:pPr>
        <w:pStyle w:val="Heading2"/>
      </w:pPr>
      <w:r>
        <w:t xml:space="preserve">3. Zabranjena korištenja</w:t>
      </w:r>
    </w:p>
    <w:p>
      <w:r>
        <w:t xml:space="preserve">Nisu dopuštene primjene UI koje su zabranjene prema čl. 5. EU AI Act-a, na primjer zaključivanje o emocijama na radnom mjestu ili manipulativne tehnike, kao ni svako korištenje koje krši zakone ili ovu politiku.</w:t>
      </w:r>
    </w:p>
    <w:p>
      <w:pPr>
        <w:pStyle w:val="Heading2"/>
      </w:pPr>
      <w:r>
        <w:t xml:space="preserve">4. Povjerljivi i osobni podaci</w:t>
      </w:r>
    </w:p>
    <w:p>
      <w:r>
        <w:t xml:space="preserve">Osobni podaci, poslovne tajne i povjerljivi podaci klijenata unose se samo u UI-alate koji su za to odobreni u Dodatku 1. Za te alate postoje potrebni ugovori, primjerice ugovor o obradi podataka prema čl. 28. GDPR-a. U slučaju sumnje zaposlenici se obraćaju osobi [službenik za zaštitu podataka].</w:t>
      </w:r>
    </w:p>
    <w:p>
      <w:pPr>
        <w:pStyle w:val="Heading2"/>
      </w:pPr>
      <w:r>
        <w:t xml:space="preserve">5. Autorsko pravo i prava trećih</w:t>
      </w:r>
    </w:p>
    <w:p>
      <w:r>
        <w:t xml:space="preserve">Rezultati UI-alata mogu kršiti prava trećih osoba. Tekstovi, slike i kod iz UI-alata provjeravaju se prije objave ili prosljeđivanja. Sadržaj trećih unosi se samo ako ga smijemo za to koristiti.</w:t>
      </w:r>
    </w:p>
    <w:p>
      <w:pPr>
        <w:pStyle w:val="Heading2"/>
      </w:pPr>
      <w:r>
        <w:t xml:space="preserve">6. Provjera od strane ljudi</w:t>
      </w:r>
    </w:p>
    <w:p>
      <w:r>
        <w:t xml:space="preserve">Rezultati UI mogu biti pogrešni, zastarjeli ili pristrani. Tko koristi rezultat UI, prethodno ga provjerava i ostaje odgovoran za rezultat. Odluke o osobama ne donosi samo sustav UI.</w:t>
      </w:r>
    </w:p>
    <w:p>
      <w:pPr>
        <w:pStyle w:val="Heading2"/>
      </w:pPr>
      <w:r>
        <w:t xml:space="preserve">7. Označivanje</w:t>
      </w:r>
    </w:p>
    <w:p>
      <w:r>
        <w:t xml:space="preserve">Slike, audio i video sadržaje koje je UI stvorila ili manipulirala i koji nalikuju stvarnim osobama, mjestima ili događajima (deepfakeovi) objavljujemo kao umjetno stvorene (čl. 50. st. 4. EU AI Act-a). To vrijedi i za tekstove koje je stvorila UI, a koje objavljujemo radi informiranja javnosti o pitanjima od javnog interesa, ako ih čovjek nije urednički provjerio i za njih preuzeo odgovornost. Chatbotovi koji razgovaraju s klijentima predstavljaju se kao UI.</w:t>
      </w:r>
    </w:p>
    <w:p>
      <w:pPr>
        <w:pStyle w:val="Heading2"/>
      </w:pPr>
      <w:r>
        <w:t xml:space="preserve">8. Primjena u područjima visokog rizika</w:t>
      </w:r>
    </w:p>
    <w:p>
      <w:r>
        <w:t xml:space="preserve">Prije primjene UI u područjima iz Priloga III. EU AI Act-a, na primjer pri odabiru osoblja, ocjeni učinka zaposlenika ili provjeri kreditne sposobnosti, uključuje se osoba [odgovorna osoba]. Za takve sustave od 2. prosinca 2027. vrijede posebne obveze za subjekte koji uvode sustav (čl. 26. EU AI Act-a).</w:t>
      </w:r>
    </w:p>
    <w:p>
      <w:pPr>
        <w:pStyle w:val="Heading2"/>
      </w:pPr>
      <w:r>
        <w:t xml:space="preserve">9. Kompetencija u UI</w:t>
      </w:r>
    </w:p>
    <w:p>
      <w:r>
        <w:t xml:space="preserve">Sve osobe koje u naše ime koriste sustave UI sudjeluju u mjerama za kompetenciju u UI prije nego što počnu koristiti alate te ih osvježavaju pri novim alatima ili ulogama (čl. 4. EU AI Act-a). Osoba [odgovorna osoba] evidentira tko je kada sudjelovao u kojoj mjeri.</w:t>
      </w:r>
    </w:p>
    <w:p>
      <w:pPr>
        <w:pStyle w:val="Heading2"/>
      </w:pPr>
      <w:r>
        <w:t xml:space="preserve">10. Odgovornosti, prijave i preispitivanje</w:t>
      </w:r>
    </w:p>
    <w:p>
      <w:r>
        <w:t xml:space="preserve">Kontakt osoba za ovu politiku je [odgovorna osoba]. Pogreške, povrede podataka ili upadljive rezultate UI zaposlenici odmah prijavljuju putem [put prijave]. Politiku preispitujemo najmanje jednom godišnje i pri bitnim promjenama. Ažurirano: [datum].</w:t>
      </w:r>
    </w:p>
    <w:p>
      <w:pPr>
        <w:pStyle w:val="Heading2"/>
      </w:pPr>
      <w:r>
        <w:t xml:space="preserve">Dodatak 1: Odobreni UI-alati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Alat</w:t>
            </w:r>
          </w:p>
        </w:tc>
        <w:tc>
          <w:p>
            <w:r>
              <w:rPr>
                <w:b/>
                <w:bCs/>
              </w:rPr>
              <w:t xml:space="preserve">Svrha</w:t>
            </w:r>
          </w:p>
        </w:tc>
        <w:tc>
          <w:p>
            <w:r>
              <w:rPr>
                <w:b/>
                <w:bCs/>
              </w:rPr>
              <w:t xml:space="preserve">Dopušteni podaci</w:t>
            </w:r>
          </w:p>
        </w:tc>
        <w:tc>
          <w:p>
            <w:r>
              <w:rPr>
                <w:b/>
                <w:bCs/>
              </w:rPr>
              <w:t xml:space="preserve">Ugovor (npr. o obradi podataka)</w:t>
            </w:r>
          </w:p>
        </w:tc>
        <w:tc>
          <w:p>
            <w:r>
              <w:rPr>
                <w:b/>
                <w:bCs/>
              </w:rPr>
              <w:t xml:space="preserve">Odgovoran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Politika za UI poduzeća [poduzeće]</dc:title>
  <dc:creator>get-ai-conform.com</dc:creator>
  <cp:lastModifiedBy>Un-named</cp:lastModifiedBy>
  <cp:revision>1</cp:revision>
  <dcterms:created xsi:type="dcterms:W3CDTF">2026-10-21T15:58:14.596Z</dcterms:created>
  <dcterms:modified xsi:type="dcterms:W3CDTF">2026-10-21T15:58:14.596Z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