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DI politika: [įmonės pavadinimas]</w:t>
      </w:r>
    </w:p>
    <w:p>
      <w:r>
        <w:rPr>
          <w:i/>
          <w:iCs/>
        </w:rPr>
        <w:t xml:space="preserve">Šabloną parengė get-ai-conform.com. Ne teisinė konsultacija: pritaikykite skyrius savo įmonei ir pakeiskite laužtiniuose skliaustuose nurodytus duomenis.</w:t>
      </w:r>
    </w:p>
    <w:p>
      <w:pPr>
        <w:pStyle w:val="Heading2"/>
      </w:pPr>
      <w:r>
        <w:t xml:space="preserve">1. Tikslas ir taikymo sritis</w:t>
      </w:r>
    </w:p>
    <w:p>
      <w:r>
        <w:t xml:space="preserve">Ši politika reglamentuoja DI sistemų naudojimą įmonėje [įmonės pavadinimas]. Ji taikoma visiems darbuotojams, taip pat laisvai samdomiems specialistams ir paslaugų teikėjams, kurie mūsų vardu naudoja DI sistemas. Tikslas yra saugus, teisėtas ir suprantamas DI naudojimas.</w:t>
      </w:r>
    </w:p>
    <w:p>
      <w:pPr>
        <w:pStyle w:val="Heading2"/>
      </w:pPr>
      <w:r>
        <w:t xml:space="preserve">2. Leidžiami DI įrankiai</w:t>
      </w:r>
    </w:p>
    <w:p>
      <w:r>
        <w:t xml:space="preserve">Profesiniais tikslais naudojami tik 1 priede nurodyti DI įrankiai. Naujų įrankių darbuotojai prašo pas [atsakingas asmuo]. Privačios DI paskyros darbo užduotims nenaudojamos.</w:t>
      </w:r>
    </w:p>
    <w:p>
      <w:pPr>
        <w:pStyle w:val="Heading2"/>
      </w:pPr>
      <w:r>
        <w:t xml:space="preserve">3. Draudžiami naudojimo atvejai</w:t>
      </w:r>
    </w:p>
    <w:p>
      <w:r>
        <w:t xml:space="preserve">Neleidžiamos DI taikomosios programos, kurios draudžiamos pagal EU AI Act 5 straipsnį, pavyzdžiui, emocijų nustatymas darbo vietoje ar manipuliaciniai metodai, taip pat bet koks naudojimas, pažeidžiantis įstatymus ar šią politiką.</w:t>
      </w:r>
    </w:p>
    <w:p>
      <w:pPr>
        <w:pStyle w:val="Heading2"/>
      </w:pPr>
      <w:r>
        <w:t xml:space="preserve">4. Konfidencialūs ir asmens duomenys</w:t>
      </w:r>
    </w:p>
    <w:p>
      <w:r>
        <w:t xml:space="preserve">Asmens duomenys, komercinės paslaptys ir konfidencialūs klientų duomenys į DI įrankius įvedami tik tada, kai 1 priede tam yra duotas leidimas. Tokiems įrankiams sudarytos būtinos sutartys, pavyzdžiui, duomenų tvarkymo sutartis pagal BDAR 28 straipsnį. Kilus abejonių, darbuotojai klausia [duomenų apsaugos pareigūnas].</w:t>
      </w:r>
    </w:p>
    <w:p>
      <w:pPr>
        <w:pStyle w:val="Heading2"/>
      </w:pPr>
      <w:r>
        <w:t xml:space="preserve">5. Autorių teisės ir trečiųjų asmenų teisės</w:t>
      </w:r>
    </w:p>
    <w:p>
      <w:r>
        <w:t xml:space="preserve">DI įrankių rezultatai gali pažeisti trečiųjų asmenų teises. Prieš skelbiant ar perduodant, DI įrankiais sukurti tekstai, vaizdai ir kodas patikrinami. Trečiųjų asmenų turinys įvedamas tik tada, kai turime teisę jį tam naudoti.</w:t>
      </w:r>
    </w:p>
    <w:p>
      <w:pPr>
        <w:pStyle w:val="Heading2"/>
      </w:pPr>
      <w:r>
        <w:t xml:space="preserve">6. Žmogaus atliekamas patikrinimas</w:t>
      </w:r>
    </w:p>
    <w:p>
      <w:r>
        <w:t xml:space="preserve">DI rezultatai gali būti klaidingi, pasenę ar šališki. Kas naudoja DI rezultatą, prieš tai jį patikrina ir lieka už jį atsakingas. Sprendimų dėl asmenų vien DI sistema nepriima.</w:t>
      </w:r>
    </w:p>
    <w:p>
      <w:pPr>
        <w:pStyle w:val="Heading2"/>
      </w:pPr>
      <w:r>
        <w:t xml:space="preserve">7. Ženklinimas</w:t>
      </w:r>
    </w:p>
    <w:p>
      <w:r>
        <w:t xml:space="preserve">DI sukurtą ar apdorotą vaizdo, garso ir vaizdo turinį, panašų į tikrus asmenis, vietas ar įvykius (deepfake), atskleidžiame kaip dirbtinai sukurtą (EU AI Act 50 straipsnio 4 dalis). Tai taikoma ir DI sukurtiems tekstams, kuriuos skelbiame visuomenei informuoti viešo intereso klausimais, jei jų nebuvo peržiūrėjęs ir už juos redakciškai neatsakė žmogus. Su klientais bendraujantys pokalbių robotai nurodo, kad yra DI.</w:t>
      </w:r>
    </w:p>
    <w:p>
      <w:pPr>
        <w:pStyle w:val="Heading2"/>
      </w:pPr>
      <w:r>
        <w:t xml:space="preserve">8. Naudojimas aukštos rizikos srityse</w:t>
      </w:r>
    </w:p>
    <w:p>
      <w:r>
        <w:t xml:space="preserve">Prieš naudojant DI srityse pagal EU AI Act III priedą, pavyzdžiui, personalo atrankoje, darbuotojų veiklos vertinime ar kreditingumo vertinime, įtraukiamas [atsakingas asmuo]. Tokioms sistemoms nuo 2027 m. gruodžio 2 d. taikomos specialios diegėjų prievolės (EU AI Act 26 straipsnis).</w:t>
      </w:r>
    </w:p>
    <w:p>
      <w:pPr>
        <w:pStyle w:val="Heading2"/>
      </w:pPr>
      <w:r>
        <w:t xml:space="preserve">9. DI raštingumas</w:t>
      </w:r>
    </w:p>
    <w:p>
      <w:r>
        <w:t xml:space="preserve">Visi asmenys, kurie mūsų vardu naudoja DI sistemas, dalyvauja DI raštingumo priemonėse prieš pradėdami naudoti įrankius ir jas atnaujina, kai atsiranda naujų įrankių ar vaidmenų (EU AI Act 4 straipsnis). [Atsakingas asmuo] fiksuoja, kas kada kokiose priemonėse dalyvavo.</w:t>
      </w:r>
    </w:p>
    <w:p>
      <w:pPr>
        <w:pStyle w:val="Heading2"/>
      </w:pPr>
      <w:r>
        <w:t xml:space="preserve">10. Atsakomybės, pranešimai ir peržiūra</w:t>
      </w:r>
    </w:p>
    <w:p>
      <w:r>
        <w:t xml:space="preserve">Už šią politiką atsakingas asmuo yra [atsakingas asmuo]. Apie klaidas, duomenų incidentus ar neįprastus DI rezultatus darbuotojai nedelsdami praneša per [pranešimo kanalas]. Politiką peržiūrime bent kartą per metus ir esant esminiams pokyčiams. Redakcija: [data].</w:t>
      </w:r>
    </w:p>
    <w:p>
      <w:pPr>
        <w:pStyle w:val="Heading2"/>
      </w:pPr>
      <w:r>
        <w:t xml:space="preserve">1 priedas: leidžiami DI įrankiai</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p>
            <w:r>
              <w:rPr>
                <w:b/>
                <w:bCs/>
              </w:rPr>
              <w:t xml:space="preserve">Įrankis</w:t>
            </w:r>
          </w:p>
        </w:tc>
        <w:tc>
          <w:p>
            <w:r>
              <w:rPr>
                <w:b/>
                <w:bCs/>
              </w:rPr>
              <w:t xml:space="preserve">Paskirtis</w:t>
            </w:r>
          </w:p>
        </w:tc>
        <w:tc>
          <w:p>
            <w:r>
              <w:rPr>
                <w:b/>
                <w:bCs/>
              </w:rPr>
              <w:t xml:space="preserve">Leidžiami duomenys</w:t>
            </w:r>
          </w:p>
        </w:tc>
        <w:tc>
          <w:p>
            <w:r>
              <w:rPr>
                <w:b/>
                <w:bCs/>
              </w:rPr>
              <w:t xml:space="preserve">Sutartis (pvz., duomenų tvarkymo sutartis)</w:t>
            </w:r>
          </w:p>
        </w:tc>
        <w:tc>
          <w:p>
            <w:r>
              <w:rPr>
                <w:b/>
                <w:bCs/>
              </w:rPr>
              <w:t xml:space="preserve">Atsakingas asmuo</w:t>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lang w:val="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 politika: [įmonės pavadinimas]</dc:title>
  <dc:creator>get-ai-conform.com</dc:creator>
  <cp:lastModifiedBy>Un-named</cp:lastModifiedBy>
  <cp:revision>1</cp:revision>
  <dcterms:created xsi:type="dcterms:W3CDTF">2026-10-21T15:58:14.608Z</dcterms:created>
  <dcterms:modified xsi:type="dcterms:W3CDTF">2026-10-21T15:58:14.608Z</dcterms:modified>
</cp:coreProperties>
</file>

<file path=docProps/custom.xml><?xml version="1.0" encoding="utf-8"?>
<Properties xmlns="http://schemas.openxmlformats.org/officeDocument/2006/custom-properties" xmlns:vt="http://schemas.openxmlformats.org/officeDocument/2006/docPropsVTypes"/>
</file>