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AI-policy för [företag]</w:t>
      </w:r>
    </w:p>
    <w:p>
      <w:r>
        <w:rPr>
          <w:i/>
          <w:iCs/>
        </w:rPr>
        <w:t xml:space="preserve">Mall från get-ai-conform.com. Ingen juridisk rådgivning: Anpassa avsnitten till ert företag och byt ut uppgifterna inom hakparentes.</w:t>
      </w:r>
    </w:p>
    <w:p>
      <w:pPr>
        <w:pStyle w:val="Heading2"/>
      </w:pPr>
      <w:r>
        <w:t xml:space="preserve">1. Syfte och tillämpningsområde</w:t>
      </w:r>
    </w:p>
    <w:p>
      <w:r>
        <w:t xml:space="preserve">Denna policy reglerar användningen av AI-system hos [företag]. Den gäller alla anställda samt frilansare och tjänsteleverantörer som använder AI-system på vårt uppdrag. Målet är en säker, lagenlig och spårbar användning av AI.</w:t>
      </w:r>
    </w:p>
    <w:p>
      <w:pPr>
        <w:pStyle w:val="Heading2"/>
      </w:pPr>
      <w:r>
        <w:t xml:space="preserve">2. Godkända AI-verktyg</w:t>
      </w:r>
    </w:p>
    <w:p>
      <w:r>
        <w:t xml:space="preserve">I arbetet används endast de AI-verktyg som finns i bilaga 1. Nya verktyg ansöker anställda om hos [ansvarig person]. Privata AI-konton används inte för arbetsuppgifter.</w:t>
      </w:r>
    </w:p>
    <w:p>
      <w:pPr>
        <w:pStyle w:val="Heading2"/>
      </w:pPr>
      <w:r>
        <w:t xml:space="preserve">3. Förbjuden användning</w:t>
      </w:r>
    </w:p>
    <w:p>
      <w:r>
        <w:t xml:space="preserve">Inte tillåtna är AI-tillämpningar som är förbjudna enligt art. 5 EU AI Act, till exempel att härleda känslor på arbetsplatsen eller manipulativa tekniker, samt all användning som strider mot lag eller denna policy.</w:t>
      </w:r>
    </w:p>
    <w:p>
      <w:pPr>
        <w:pStyle w:val="Heading2"/>
      </w:pPr>
      <w:r>
        <w:t xml:space="preserve">4. Konfidentiella uppgifter och personuppgifter</w:t>
      </w:r>
    </w:p>
    <w:p>
      <w:r>
        <w:t xml:space="preserve">Personuppgifter, affärshemligheter och konfidentiella kunduppgifter matas bara in i AI-verktyg som är godkända för det i bilaga 1. För dessa verktyg finns nödvändiga avtal, till exempel ett personuppgiftsbiträdesavtal enligt art. 28 GDPR. Vid osäkerhet frågar anställda [dataskyddsombud].</w:t>
      </w:r>
    </w:p>
    <w:p>
      <w:pPr>
        <w:pStyle w:val="Heading2"/>
      </w:pPr>
      <w:r>
        <w:t xml:space="preserve">5. Upphovsrätt och tredje parts rättigheter</w:t>
      </w:r>
    </w:p>
    <w:p>
      <w:r>
        <w:t xml:space="preserve">Resultat från AI-verktyg kan göra intrång i tredje parts rättigheter. Texter, bilder och kod från AI-verktyg kontrolleras med avseende på detta innan de publiceras eller lämnas vidare. Innehåll från tredje part matas bara in om vi får använda det för detta.</w:t>
      </w:r>
    </w:p>
    <w:p>
      <w:pPr>
        <w:pStyle w:val="Heading2"/>
      </w:pPr>
      <w:r>
        <w:t xml:space="preserve">6. Mänsklig granskning</w:t>
      </w:r>
    </w:p>
    <w:p>
      <w:r>
        <w:t xml:space="preserve">AI-resultat kan vara felaktiga, föråldrade eller snedvridna. Den som använder ett AI-resultat granskar det först och förblir ansvarig för resultatet. Beslut om personer fattas inte enbart av ett AI-system.</w:t>
      </w:r>
    </w:p>
    <w:p>
      <w:pPr>
        <w:pStyle w:val="Heading2"/>
      </w:pPr>
      <w:r>
        <w:t xml:space="preserve">7. Märkning</w:t>
      </w:r>
    </w:p>
    <w:p>
      <w:r>
        <w:t xml:space="preserve">AI-genererade eller manipulerade bild-, ljud- och videoinnehåll som liknar verkliga personer, platser eller händelser (deepfakes) upplyser vi om som artificiellt framställda (art. 50.4 EU AI Act). Detsamma gäller AI-genererade texter som vi publicerar för att informera allmänheten i frågor av allmänintresse, om ingen människa har granskat dem redaktionellt och tagit ansvar för dem. Chattbottar som talar med kunder gör sig kända som AI.</w:t>
      </w:r>
    </w:p>
    <w:p>
      <w:pPr>
        <w:pStyle w:val="Heading2"/>
      </w:pPr>
      <w:r>
        <w:t xml:space="preserve">8. Användning inom högriskområden</w:t>
      </w:r>
    </w:p>
    <w:p>
      <w:r>
        <w:t xml:space="preserve">Innan AI används inom områden enligt bilaga III EU AI Act, till exempel vid rekrytering, bedömning av anställdas prestation eller kreditprövning, kopplas [ansvarig person] in. För sådana system gäller från den 2 december 2027 särskilda skyldigheter för tillhandahållare (art. 26 EU AI Act).</w:t>
      </w:r>
    </w:p>
    <w:p>
      <w:pPr>
        <w:pStyle w:val="Heading2"/>
      </w:pPr>
      <w:r>
        <w:t xml:space="preserve">9. AI-kompetens</w:t>
      </w:r>
    </w:p>
    <w:p>
      <w:r>
        <w:t xml:space="preserve">Alla personer som använder AI-system på vårt uppdrag deltar i åtgärder för AI-kompetens innan de börjar använda verktygen och repeterar dem vid nya verktyg eller roller (art. 4 EU AI Act). [Ansvarig person] dokumenterar vem som har deltagit i vilken åtgärd och när.</w:t>
      </w:r>
    </w:p>
    <w:p>
      <w:pPr>
        <w:pStyle w:val="Heading2"/>
      </w:pPr>
      <w:r>
        <w:t xml:space="preserve">10. Ansvar, rapportering och översyn</w:t>
      </w:r>
    </w:p>
    <w:p>
      <w:r>
        <w:t xml:space="preserve">Kontaktperson för denna policy är [ansvarig person]. Fel, dataincidenter eller avvikande AI-resultat rapporterar anställda utan dröjsmål till [rapporteringsväg]. Vi ser över policyn minst en gång per år och vid väsentliga förändringar. Uppdaterad: [datum].</w:t>
      </w:r>
    </w:p>
    <w:p>
      <w:pPr>
        <w:pStyle w:val="Heading2"/>
      </w:pPr>
      <w:r>
        <w:t xml:space="preserve">Bilaga 1: Godkända AI-verktyg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</w:rPr>
              <w:t xml:space="preserve">Verktyg</w:t>
            </w:r>
          </w:p>
        </w:tc>
        <w:tc>
          <w:p>
            <w:r>
              <w:rPr>
                <w:b/>
                <w:bCs/>
              </w:rPr>
              <w:t xml:space="preserve">Ändamål</w:t>
            </w:r>
          </w:p>
        </w:tc>
        <w:tc>
          <w:p>
            <w:r>
              <w:rPr>
                <w:b/>
                <w:bCs/>
              </w:rPr>
              <w:t xml:space="preserve">Tillåtna uppgifter</w:t>
            </w:r>
          </w:p>
        </w:tc>
        <w:tc>
          <w:p>
            <w:r>
              <w:rPr>
                <w:b/>
                <w:bCs/>
              </w:rPr>
              <w:t xml:space="preserve">Avtal (t.ex. personuppgiftsbiträdesavtal)</w:t>
            </w:r>
          </w:p>
        </w:tc>
        <w:tc>
          <w:p>
            <w:r>
              <w:rPr>
                <w:b/>
                <w:bCs/>
              </w:rPr>
              <w:t xml:space="preserve">Ansvarig</w:t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sv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AI-policy för [företag]</dc:title>
  <dc:creator>get-ai-conform.com</dc:creator>
  <cp:lastModifiedBy>Un-named</cp:lastModifiedBy>
  <cp:revision>1</cp:revision>
  <dcterms:created xsi:type="dcterms:W3CDTF">2026-10-21T15:58:14.536Z</dcterms:created>
  <dcterms:modified xsi:type="dcterms:W3CDTF">2026-10-21T15:58:14.536Z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